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39AB" w:rsidP="1774F744" w:rsidRDefault="00DB4AAB" w14:paraId="246BDEE5" w14:textId="77777777">
      <w:pPr>
        <w:pBdr>
          <w:top w:val="nil"/>
          <w:left w:val="nil"/>
          <w:bottom w:val="nil"/>
          <w:right w:val="nil"/>
          <w:between w:val="nil"/>
        </w:pBdr>
        <w:tabs>
          <w:tab w:val="center" w:pos="4513"/>
          <w:tab w:val="right" w:pos="9026"/>
        </w:tabs>
        <w:spacing w:after="0" w:line="240" w:lineRule="auto"/>
        <w:rPr>
          <w:rFonts w:ascii="Arial" w:hAnsi="Arial" w:eastAsia="Arial" w:cs="Arial"/>
          <w:b/>
          <w:bCs/>
          <w:color w:val="000000"/>
          <w:sz w:val="36"/>
          <w:szCs w:val="36"/>
        </w:rPr>
      </w:pPr>
      <w:r w:rsidRPr="1774F744">
        <w:rPr>
          <w:rFonts w:ascii="Arial" w:hAnsi="Arial" w:eastAsia="Arial" w:cs="Arial"/>
          <w:b/>
          <w:bCs/>
          <w:color w:val="000000" w:themeColor="text1"/>
          <w:sz w:val="36"/>
          <w:szCs w:val="36"/>
        </w:rPr>
        <w:t>Joint Schedule 11 (Processing Data)</w:t>
      </w:r>
    </w:p>
    <w:p w:rsidR="004139AB" w:rsidRDefault="004139AB" w14:paraId="5952CB7C"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36"/>
          <w:szCs w:val="36"/>
        </w:rPr>
      </w:pPr>
    </w:p>
    <w:p w:rsidR="004139AB" w:rsidRDefault="00DB4AAB" w14:paraId="58553B26"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Definitions</w:t>
      </w:r>
    </w:p>
    <w:p w:rsidR="004139AB" w:rsidRDefault="00DB4AAB" w14:paraId="58CAF83F" w14:textId="77777777">
      <w:pPr>
        <w:numPr>
          <w:ilvl w:val="1"/>
          <w:numId w:val="11"/>
        </w:numPr>
        <w:pBdr>
          <w:top w:val="nil"/>
          <w:left w:val="nil"/>
          <w:bottom w:val="nil"/>
          <w:right w:val="nil"/>
          <w:between w:val="nil"/>
        </w:pBdr>
        <w:spacing w:before="280" w:after="120" w:line="240" w:lineRule="auto"/>
        <w:jc w:val="both"/>
        <w:rPr>
          <w:rFonts w:ascii="Arial" w:hAnsi="Arial" w:eastAsia="Arial" w:cs="Arial"/>
          <w:b/>
          <w:sz w:val="24"/>
          <w:szCs w:val="24"/>
        </w:rPr>
      </w:pPr>
      <w:r>
        <w:rPr>
          <w:rFonts w:ascii="Arial" w:hAnsi="Arial" w:eastAsia="Arial" w:cs="Arial"/>
          <w:sz w:val="24"/>
          <w:szCs w:val="24"/>
        </w:rPr>
        <w:t>In this Schedule, the following words shall have the following meanings and they shall supplement Joint Schedule 1 (Definitions):</w:t>
      </w: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2263"/>
        <w:gridCol w:w="6753"/>
      </w:tblGrid>
      <w:tr w:rsidR="004139AB" w:rsidTr="70AFB732" w14:paraId="0E6A026A" w14:textId="77777777">
        <w:tc>
          <w:tcPr>
            <w:tcW w:w="2263" w:type="dxa"/>
            <w:tcMar/>
          </w:tcPr>
          <w:p w:rsidR="004139AB" w:rsidRDefault="00DB4AAB" w14:paraId="7DA261C0" w14:textId="77777777">
            <w:pPr>
              <w:keepNext/>
              <w:pBdr>
                <w:top w:val="nil"/>
                <w:left w:val="nil"/>
                <w:bottom w:val="nil"/>
                <w:right w:val="nil"/>
                <w:between w:val="nil"/>
              </w:pBdr>
              <w:spacing w:after="220"/>
              <w:jc w:val="both"/>
              <w:rPr>
                <w:rFonts w:ascii="Arial" w:hAnsi="Arial" w:eastAsia="Arial" w:cs="Arial"/>
                <w:b/>
                <w:sz w:val="24"/>
                <w:szCs w:val="24"/>
              </w:rPr>
            </w:pPr>
            <w:r>
              <w:rPr>
                <w:rFonts w:ascii="Arial" w:hAnsi="Arial" w:eastAsia="Arial" w:cs="Arial"/>
                <w:b/>
                <w:sz w:val="24"/>
                <w:szCs w:val="24"/>
              </w:rPr>
              <w:t>“Processor Personnel”</w:t>
            </w:r>
          </w:p>
        </w:tc>
        <w:tc>
          <w:tcPr>
            <w:tcW w:w="6753" w:type="dxa"/>
            <w:tcMar/>
          </w:tcPr>
          <w:p w:rsidR="004139AB" w:rsidP="70AFB732" w:rsidRDefault="00DB4AAB" w14:paraId="598CECEC" w14:textId="412B66B9">
            <w:pPr>
              <w:keepNext w:val="1"/>
              <w:pBdr>
                <w:top w:val="nil" w:color="000000" w:sz="0" w:space="0"/>
                <w:left w:val="nil" w:color="000000" w:sz="0" w:space="0"/>
                <w:bottom w:val="nil" w:color="000000" w:sz="0" w:space="0"/>
                <w:right w:val="nil" w:color="000000" w:sz="0" w:space="0"/>
                <w:between w:val="nil" w:color="000000" w:sz="0" w:space="0"/>
              </w:pBdr>
              <w:spacing w:after="220"/>
              <w:jc w:val="both"/>
              <w:rPr>
                <w:rFonts w:ascii="Arial" w:hAnsi="Arial" w:eastAsia="Arial" w:cs="Arial"/>
                <w:b w:val="1"/>
                <w:bCs w:val="1"/>
                <w:sz w:val="24"/>
                <w:szCs w:val="24"/>
              </w:rPr>
            </w:pPr>
            <w:r w:rsidRPr="70AFB732" w:rsidR="00DB4AAB">
              <w:rPr>
                <w:rFonts w:ascii="Arial" w:hAnsi="Arial" w:eastAsia="Arial" w:cs="Arial"/>
                <w:sz w:val="24"/>
                <w:szCs w:val="24"/>
              </w:rPr>
              <w:t xml:space="preserve">all directors, officers, employees, agents, </w:t>
            </w:r>
            <w:r w:rsidRPr="70AFB732" w:rsidR="00DB4AAB">
              <w:rPr>
                <w:rFonts w:ascii="Arial" w:hAnsi="Arial" w:eastAsia="Arial" w:cs="Arial"/>
                <w:sz w:val="24"/>
                <w:szCs w:val="24"/>
              </w:rPr>
              <w:t>consultants</w:t>
            </w:r>
            <w:r w:rsidRPr="70AFB732" w:rsidR="00DB4AAB">
              <w:rPr>
                <w:rFonts w:ascii="Arial" w:hAnsi="Arial" w:eastAsia="Arial" w:cs="Arial"/>
                <w:sz w:val="24"/>
                <w:szCs w:val="24"/>
              </w:rPr>
              <w:t xml:space="preserve"> and suppliers of the Processor and/or of any </w:t>
            </w:r>
            <w:r w:rsidRPr="70AFB732" w:rsidR="3176590F">
              <w:rPr>
                <w:rFonts w:ascii="Arial" w:hAnsi="Arial" w:eastAsia="Arial" w:cs="Arial"/>
                <w:sz w:val="24"/>
                <w:szCs w:val="24"/>
              </w:rPr>
              <w:t>Sub processor</w:t>
            </w:r>
            <w:r w:rsidRPr="70AFB732" w:rsidR="00DB4AAB">
              <w:rPr>
                <w:rFonts w:ascii="Arial" w:hAnsi="Arial" w:eastAsia="Arial" w:cs="Arial"/>
                <w:sz w:val="24"/>
                <w:szCs w:val="24"/>
              </w:rPr>
              <w:t xml:space="preserve"> engaged in the performance of its obligations under a Contract;</w:t>
            </w:r>
          </w:p>
        </w:tc>
      </w:tr>
    </w:tbl>
    <w:p w:rsidR="004139AB" w:rsidRDefault="00DB4AAB" w14:paraId="13EB4678"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Status of the Controller</w:t>
      </w:r>
    </w:p>
    <w:p w:rsidR="004139AB" w:rsidRDefault="00DB4AAB" w14:paraId="43FB38A5"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4139AB" w:rsidRDefault="00DB4AAB" w14:paraId="17B8DD9F"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“Controller” in respect of the other Party who is “Processor”;</w:t>
      </w:r>
    </w:p>
    <w:p w:rsidR="004139AB" w:rsidRDefault="00DB4AAB" w14:paraId="2A1AE1C6"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“Processor” in respect of the other Party who is “Controller”;</w:t>
      </w:r>
    </w:p>
    <w:p w:rsidR="004139AB" w:rsidRDefault="00DB4AAB" w14:paraId="64542791"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“Joint Controller” with the other Party; </w:t>
      </w:r>
    </w:p>
    <w:p w:rsidR="004139AB" w:rsidRDefault="00DB4AAB" w14:paraId="0B7EE030"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“Independent Controller” of the Personal Data where the other Party is also “Controller”,</w:t>
      </w:r>
    </w:p>
    <w:p w:rsidR="004139AB" w:rsidRDefault="00DB4AAB" w14:paraId="1D6B443E" w14:textId="77777777">
      <w:pPr>
        <w:pBdr>
          <w:top w:val="nil"/>
          <w:left w:val="nil"/>
          <w:bottom w:val="nil"/>
          <w:right w:val="nil"/>
          <w:between w:val="nil"/>
        </w:pBdr>
        <w:spacing w:before="280" w:after="120"/>
        <w:ind w:left="809"/>
        <w:rPr>
          <w:rFonts w:ascii="Arial" w:hAnsi="Arial" w:eastAsia="Arial" w:cs="Arial"/>
          <w:sz w:val="24"/>
          <w:szCs w:val="24"/>
        </w:rPr>
      </w:pPr>
      <w:r>
        <w:rPr>
          <w:rFonts w:ascii="Arial" w:hAnsi="Arial" w:eastAsia="Arial" w:cs="Arial"/>
          <w:sz w:val="24"/>
          <w:szCs w:val="24"/>
        </w:rPr>
        <w:t xml:space="preserve">in respect of certain Personal Data under a Contract and shall specify in Annex 1 </w:t>
      </w:r>
      <w:r>
        <w:rPr>
          <w:rFonts w:ascii="Arial" w:hAnsi="Arial" w:eastAsia="Arial" w:cs="Arial"/>
          <w:i/>
          <w:sz w:val="24"/>
          <w:szCs w:val="24"/>
        </w:rPr>
        <w:t>(Processing Personal Data)</w:t>
      </w:r>
      <w:r>
        <w:rPr>
          <w:rFonts w:ascii="Arial" w:hAnsi="Arial" w:eastAsia="Arial" w:cs="Arial"/>
          <w:sz w:val="24"/>
          <w:szCs w:val="24"/>
        </w:rPr>
        <w:t xml:space="preserve"> which scenario they think shall apply in each situation. </w:t>
      </w:r>
    </w:p>
    <w:p w:rsidR="004139AB" w:rsidRDefault="00DB4AAB" w14:paraId="3725B7D8"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one Party is Controller and the other Party its Processor </w:t>
      </w:r>
    </w:p>
    <w:p w:rsidR="004139AB" w:rsidRDefault="00DB4AAB" w14:paraId="3D0AB196"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is a Processor, the only Processing that it is authorised to do is listed in Annex 1 </w:t>
      </w:r>
      <w:r>
        <w:rPr>
          <w:rFonts w:ascii="Arial" w:hAnsi="Arial" w:eastAsia="Arial" w:cs="Arial"/>
          <w:i/>
          <w:sz w:val="24"/>
          <w:szCs w:val="24"/>
        </w:rPr>
        <w:t>(Processing Personal Data</w:t>
      </w:r>
      <w:r>
        <w:rPr>
          <w:rFonts w:ascii="Arial" w:hAnsi="Arial" w:eastAsia="Arial" w:cs="Arial"/>
          <w:sz w:val="24"/>
          <w:szCs w:val="24"/>
        </w:rPr>
        <w:t xml:space="preserve">) by the Controller. </w:t>
      </w:r>
    </w:p>
    <w:p w:rsidR="004139AB" w:rsidRDefault="00DB4AAB" w14:paraId="5E4B9258"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notify the Controller immediately if it considers that any of the Controller’s instructions infringe the Data Protection Legislation.</w:t>
      </w:r>
    </w:p>
    <w:p w:rsidR="004139AB" w:rsidRDefault="00DB4AAB" w14:paraId="143A256B"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4139AB" w:rsidRDefault="00DB4AAB" w14:paraId="15BA3F7B"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 systematic description of the envisaged Processing and the purpose of the Processing;</w:t>
      </w:r>
    </w:p>
    <w:p w:rsidR="004139AB" w:rsidRDefault="00DB4AAB" w14:paraId="252221B5"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_heading=h.gjdgxs" w:colFirst="0" w:colLast="0" w:id="0"/>
      <w:bookmarkEnd w:id="0"/>
      <w:r>
        <w:rPr>
          <w:rFonts w:ascii="Arial" w:hAnsi="Arial" w:eastAsia="Arial" w:cs="Arial"/>
          <w:sz w:val="24"/>
          <w:szCs w:val="24"/>
        </w:rPr>
        <w:t>an assessment of the necessity and proportionality of the Processing in relation to the Deliverables;</w:t>
      </w:r>
    </w:p>
    <w:p w:rsidR="004139AB" w:rsidRDefault="00DB4AAB" w14:paraId="2973F64B"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an assessment of the risks to the rights and freedoms of Data Subjects; and</w:t>
      </w:r>
    </w:p>
    <w:p w:rsidR="004139AB" w:rsidRDefault="00DB4AAB" w14:paraId="60BC776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measures envisaged to address the risks, including safeguards, security measures and mechanisms to ensure the protection of Personal Data.</w:t>
      </w:r>
    </w:p>
    <w:p w:rsidR="004139AB" w:rsidRDefault="00DB4AAB" w14:paraId="393DBAA8"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30j0zll" w:colFirst="0" w:colLast="0" w:id="1"/>
      <w:bookmarkEnd w:id="1"/>
      <w:r>
        <w:rPr>
          <w:rFonts w:ascii="Arial" w:hAnsi="Arial" w:eastAsia="Arial" w:cs="Arial"/>
          <w:sz w:val="24"/>
          <w:szCs w:val="24"/>
        </w:rPr>
        <w:t>The Processor shall, in relation to any Personal Data Processed in connection with its obligations under the Contract:</w:t>
      </w:r>
    </w:p>
    <w:p w:rsidR="004139AB" w:rsidRDefault="00DB4AAB" w14:paraId="102E8BC3"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bookmark=id.1fob9te" w:colFirst="0" w:colLast="0" w:id="2"/>
      <w:bookmarkEnd w:id="2"/>
      <w:r>
        <w:rPr>
          <w:rFonts w:ascii="Arial" w:hAnsi="Arial" w:eastAsia="Arial" w:cs="Arial"/>
          <w:sz w:val="24"/>
          <w:szCs w:val="24"/>
        </w:rPr>
        <w:t xml:space="preserve">Process that Personal Data only in accordance with Annex 1 </w:t>
      </w:r>
      <w:r>
        <w:rPr>
          <w:rFonts w:ascii="Arial" w:hAnsi="Arial" w:eastAsia="Arial" w:cs="Arial"/>
          <w:i/>
          <w:sz w:val="24"/>
          <w:szCs w:val="24"/>
        </w:rPr>
        <w:t>(Processing Personal Data</w:t>
      </w:r>
      <w:r>
        <w:rPr>
          <w:rFonts w:ascii="Arial" w:hAnsi="Arial" w:eastAsia="Arial" w:cs="Arial"/>
          <w:sz w:val="24"/>
          <w:szCs w:val="24"/>
        </w:rPr>
        <w:t>), unless the Processor is required to do otherwise by Law. If it is so required the Processor shall notify the Controller before Processing the Personal Data unless prohibited by Law;</w:t>
      </w:r>
    </w:p>
    <w:p w:rsidR="004139AB" w:rsidRDefault="00DB4AAB" w14:paraId="64B46B50"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bookmark=id.3znysh7" w:colFirst="0" w:colLast="0" w:id="3"/>
      <w:bookmarkEnd w:id="3"/>
      <w:r>
        <w:rPr>
          <w:rFonts w:ascii="Arial" w:hAnsi="Arial" w:eastAsia="Arial" w:cs="Arial"/>
          <w:sz w:val="24"/>
          <w:szCs w:val="24"/>
        </w:rPr>
        <w:t>ensure that it has in place Protective Measures, including in the case of the Supplier the measures set out in Clause 14.3 of the Core Terms</w:t>
      </w:r>
      <w:r>
        <w:rPr>
          <w:rFonts w:ascii="Arial" w:hAnsi="Arial" w:eastAsia="Arial" w:cs="Arial"/>
          <w:i/>
          <w:sz w:val="24"/>
          <w:szCs w:val="24"/>
        </w:rPr>
        <w:t>,</w:t>
      </w:r>
      <w:r>
        <w:rPr>
          <w:rFonts w:ascii="Arial" w:hAnsi="Arial" w:eastAsia="Arial" w:cs="Arial"/>
          <w:sz w:val="24"/>
          <w:szCs w:val="24"/>
        </w:rPr>
        <w:t xml:space="preserve"> which  the Controller may reasonably reject (but failure to reject shall not amount to approval by the Controller of the adequacy of the Protective Measures) having taken account of the:</w:t>
      </w:r>
    </w:p>
    <w:p w:rsidR="004139AB" w:rsidRDefault="00DB4AAB" w14:paraId="7885D418"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nature of the data to be protected;</w:t>
      </w:r>
      <w:bookmarkStart w:name="bookmark=id.2et92p0" w:colFirst="0" w:colLast="0" w:id="4"/>
      <w:bookmarkEnd w:id="4"/>
    </w:p>
    <w:p w:rsidR="004139AB" w:rsidRDefault="00DB4AAB" w14:paraId="41269C79"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harm that might result from a Personal Data Breach;</w:t>
      </w:r>
    </w:p>
    <w:p w:rsidR="004139AB" w:rsidRDefault="00DB4AAB" w14:paraId="014D9C43"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state of technological development; and</w:t>
      </w:r>
    </w:p>
    <w:p w:rsidR="004139AB" w:rsidRDefault="00DB4AAB" w14:paraId="197062B3"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 xml:space="preserve">cost of implementing any measures; </w:t>
      </w:r>
    </w:p>
    <w:p w:rsidR="004139AB" w:rsidRDefault="00DB4AAB" w14:paraId="078734E3"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bookmark=id.tyjcwt" w:colFirst="0" w:colLast="0" w:id="5"/>
      <w:bookmarkEnd w:id="5"/>
      <w:r>
        <w:rPr>
          <w:rFonts w:ascii="Arial" w:hAnsi="Arial" w:eastAsia="Arial" w:cs="Arial"/>
          <w:sz w:val="24"/>
          <w:szCs w:val="24"/>
        </w:rPr>
        <w:t>ensure that :</w:t>
      </w:r>
    </w:p>
    <w:p w:rsidR="004139AB" w:rsidRDefault="00DB4AAB" w14:paraId="6904AEDC"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the Processor Personnel do not Process Personal Data except in accordance with the Contract (and in particular Annex 1</w:t>
      </w:r>
      <w:r>
        <w:rPr>
          <w:rFonts w:ascii="Arial" w:hAnsi="Arial" w:eastAsia="Arial" w:cs="Arial"/>
          <w:i/>
          <w:sz w:val="24"/>
          <w:szCs w:val="24"/>
        </w:rPr>
        <w:t xml:space="preserve"> (Processing Personal Data</w:t>
      </w:r>
      <w:r>
        <w:rPr>
          <w:rFonts w:ascii="Arial" w:hAnsi="Arial" w:eastAsia="Arial" w:cs="Arial"/>
          <w:sz w:val="24"/>
          <w:szCs w:val="24"/>
        </w:rPr>
        <w:t>));</w:t>
      </w:r>
    </w:p>
    <w:p w:rsidR="004139AB" w:rsidRDefault="00DB4AAB" w14:paraId="73B50D91"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r>
        <w:rPr>
          <w:rFonts w:ascii="Arial" w:hAnsi="Arial" w:eastAsia="Arial" w:cs="Arial"/>
          <w:sz w:val="24"/>
          <w:szCs w:val="24"/>
        </w:rPr>
        <w:t>it takes all reasonable steps to ensure the reliability and integrity of any Processor Personnel who have access to the Personal Data and ensure that they:</w:t>
      </w:r>
    </w:p>
    <w:p w:rsidR="004139AB" w:rsidRDefault="00DB4AAB" w14:paraId="03D65B88" w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aware of and comply with the Processor’s duties under this Joint Schedule 11, Clauses 14 (</w:t>
      </w:r>
      <w:r>
        <w:rPr>
          <w:rFonts w:ascii="Arial" w:hAnsi="Arial" w:eastAsia="Arial" w:cs="Arial"/>
          <w:i/>
          <w:sz w:val="24"/>
          <w:szCs w:val="24"/>
        </w:rPr>
        <w:t>Data protection</w:t>
      </w:r>
      <w:r>
        <w:rPr>
          <w:rFonts w:ascii="Arial" w:hAnsi="Arial" w:eastAsia="Arial" w:cs="Arial"/>
          <w:sz w:val="24"/>
          <w:szCs w:val="24"/>
        </w:rPr>
        <w:t>), 15 (</w:t>
      </w:r>
      <w:r>
        <w:rPr>
          <w:rFonts w:ascii="Arial" w:hAnsi="Arial" w:eastAsia="Arial" w:cs="Arial"/>
          <w:i/>
          <w:sz w:val="24"/>
          <w:szCs w:val="24"/>
        </w:rPr>
        <w:t>What you must keep confidential</w:t>
      </w:r>
      <w:r>
        <w:rPr>
          <w:rFonts w:ascii="Arial" w:hAnsi="Arial" w:eastAsia="Arial" w:cs="Arial"/>
          <w:sz w:val="24"/>
          <w:szCs w:val="24"/>
        </w:rPr>
        <w:t>) and 16 (</w:t>
      </w:r>
      <w:r>
        <w:rPr>
          <w:rFonts w:ascii="Arial" w:hAnsi="Arial" w:eastAsia="Arial" w:cs="Arial"/>
          <w:i/>
          <w:sz w:val="24"/>
          <w:szCs w:val="24"/>
        </w:rPr>
        <w:t>When you can share information</w:t>
      </w:r>
      <w:r>
        <w:rPr>
          <w:rFonts w:ascii="Arial" w:hAnsi="Arial" w:eastAsia="Arial" w:cs="Arial"/>
          <w:sz w:val="24"/>
          <w:szCs w:val="24"/>
        </w:rPr>
        <w:t>);</w:t>
      </w:r>
    </w:p>
    <w:p w:rsidR="004139AB" w:rsidRDefault="00DB4AAB" w14:paraId="51821A97" w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subject to appropriate confidentiality undertakings with the Processor or any Subprocessor;</w:t>
      </w:r>
    </w:p>
    <w:p w:rsidR="004139AB" w:rsidRDefault="00DB4AAB" w14:paraId="0742F6D0" w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4139AB" w:rsidRDefault="00DB4AAB" w14:paraId="2F0348E1" w14:textId="77777777">
      <w:pPr>
        <w:numPr>
          <w:ilvl w:val="4"/>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have undergone adequate training in the use, care, protection and handling of Personal Data; </w:t>
      </w:r>
    </w:p>
    <w:p w:rsidR="004139AB" w:rsidRDefault="00DB4AAB" w14:paraId="2C0FA5DF"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bookmark=id.3dy6vkm" w:colFirst="0" w:colLast="0" w:id="6"/>
      <w:bookmarkEnd w:id="6"/>
      <w:r>
        <w:rPr>
          <w:rFonts w:ascii="Arial" w:hAnsi="Arial" w:eastAsia="Arial" w:cs="Arial"/>
          <w:sz w:val="24"/>
          <w:szCs w:val="24"/>
        </w:rPr>
        <w:t>not transfer Personal Data outside of the UK or EU unless the prior written consent of the Controller has been obtained and the following conditions are fulfilled:</w:t>
      </w:r>
    </w:p>
    <w:p w:rsidR="004139AB" w:rsidRDefault="00DB4AAB" w14:paraId="6F5B3673"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1t3h5sf" w:colFirst="0" w:colLast="0" w:id="7"/>
      <w:bookmarkEnd w:id="7"/>
      <w:r>
        <w:rPr>
          <w:rFonts w:ascii="Arial" w:hAnsi="Arial" w:eastAsia="Arial" w:cs="Arial"/>
          <w:sz w:val="24"/>
          <w:szCs w:val="24"/>
        </w:rPr>
        <w:t>the Controller or the Processor has provided appropriate safeguards in relation to the transfer (whether in accordance with UK GDPR Article 46 or LED Article 37) as determined by the Controller;</w:t>
      </w:r>
    </w:p>
    <w:p w:rsidR="004139AB" w:rsidRDefault="00DB4AAB" w14:paraId="1944BCD6"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4d34og8" w:colFirst="0" w:colLast="0" w:id="8"/>
      <w:bookmarkEnd w:id="8"/>
      <w:r>
        <w:rPr>
          <w:rFonts w:ascii="Arial" w:hAnsi="Arial" w:eastAsia="Arial" w:cs="Arial"/>
          <w:sz w:val="24"/>
          <w:szCs w:val="24"/>
        </w:rPr>
        <w:t>the Data Subject has enforceable rights and effective legal remedies;</w:t>
      </w:r>
    </w:p>
    <w:p w:rsidR="004139AB" w:rsidRDefault="00DB4AAB" w14:paraId="7D0D164F"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2s8eyo1" w:colFirst="0" w:colLast="0" w:id="9"/>
      <w:bookmarkEnd w:id="9"/>
      <w:r>
        <w:rPr>
          <w:rFonts w:ascii="Arial" w:hAnsi="Arial" w:eastAsia="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4139AB" w:rsidRDefault="00DB4AAB" w14:paraId="7A1DDA38" w14:textId="77777777">
      <w:pPr>
        <w:numPr>
          <w:ilvl w:val="3"/>
          <w:numId w:val="11"/>
        </w:numPr>
        <w:pBdr>
          <w:top w:val="nil"/>
          <w:left w:val="nil"/>
          <w:bottom w:val="nil"/>
          <w:right w:val="nil"/>
          <w:between w:val="nil"/>
        </w:pBdr>
        <w:tabs>
          <w:tab w:val="left" w:pos="2261"/>
        </w:tabs>
        <w:spacing w:after="120" w:line="240" w:lineRule="auto"/>
        <w:ind w:hanging="707"/>
        <w:jc w:val="both"/>
        <w:rPr>
          <w:rFonts w:ascii="Arial" w:hAnsi="Arial" w:eastAsia="Arial" w:cs="Arial"/>
          <w:sz w:val="24"/>
          <w:szCs w:val="24"/>
        </w:rPr>
      </w:pPr>
      <w:bookmarkStart w:name="bookmark=id.17dp8vu" w:colFirst="0" w:colLast="0" w:id="10"/>
      <w:bookmarkEnd w:id="10"/>
      <w:r>
        <w:rPr>
          <w:rFonts w:ascii="Arial" w:hAnsi="Arial" w:eastAsia="Arial" w:cs="Arial"/>
          <w:sz w:val="24"/>
          <w:szCs w:val="24"/>
        </w:rPr>
        <w:t>the Processor complies with any reasonable instructions notified to it in advance by the Controller with respect to the Processing of the Personal Data; and</w:t>
      </w:r>
    </w:p>
    <w:p w:rsidR="004139AB" w:rsidRDefault="00DB4AAB" w14:paraId="66498A8E"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bookmarkStart w:name="bookmark=id.3rdcrjn" w:colFirst="0" w:colLast="0" w:id="11"/>
      <w:bookmarkEnd w:id="11"/>
      <w:r>
        <w:rPr>
          <w:rFonts w:ascii="Arial" w:hAnsi="Arial" w:eastAsia="Arial" w:cs="Arial"/>
          <w:sz w:val="24"/>
          <w:szCs w:val="24"/>
        </w:rPr>
        <w:t>at the written direction of the Controller, delete or return Personal Data (and any copies of it) to the Controller on termination of the Contract unless the Processor is required by Law to retain the Personal Data.</w:t>
      </w:r>
    </w:p>
    <w:p w:rsidR="004139AB" w:rsidRDefault="00DB4AAB" w14:paraId="2E555F4D"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26in1rg" w:colFirst="0" w:colLast="0" w:id="12"/>
      <w:bookmarkEnd w:id="12"/>
      <w:r>
        <w:rPr>
          <w:rFonts w:ascii="Arial" w:hAnsi="Arial" w:eastAsia="Arial" w:cs="Arial"/>
          <w:sz w:val="24"/>
          <w:szCs w:val="24"/>
        </w:rPr>
        <w:t>Subject to paragraph 7 of this Joint Schedule 11, the Processor  shall notify the Controller immediately if in relation to it Processing Personal Data under or in connection with the Contract it:</w:t>
      </w:r>
    </w:p>
    <w:p w:rsidR="004139AB" w:rsidRDefault="00DB4AAB" w14:paraId="1C35CE2A"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Data Subject Access Request (or purported Data Subject Access Request);</w:t>
      </w:r>
    </w:p>
    <w:p w:rsidR="004139AB" w:rsidRDefault="00DB4AAB" w14:paraId="5732D5C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 request to rectify, block or erase any Personal Data; </w:t>
      </w:r>
    </w:p>
    <w:p w:rsidR="004139AB" w:rsidRDefault="00DB4AAB" w14:paraId="5440402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any other request, complaint or communication relating to either Party's obligations under the Data Protection Legislation; </w:t>
      </w:r>
    </w:p>
    <w:p w:rsidR="004139AB" w:rsidRDefault="00DB4AAB" w14:paraId="3FEA2AF4"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receives any communication from the Information Commissioner or any other regulatory authority in connection with Personal Data Processed under the Contract; </w:t>
      </w:r>
    </w:p>
    <w:p w:rsidR="004139AB" w:rsidRDefault="00DB4AAB" w14:paraId="157EA61D"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receives a request from any third Party for disclosure of Personal Data where compliance with such request is required or purported to be required by Law; or</w:t>
      </w:r>
    </w:p>
    <w:p w:rsidR="004139AB" w:rsidRDefault="00DB4AAB" w14:paraId="36B76759"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becomes aware of a Personal Data Breach.</w:t>
      </w:r>
    </w:p>
    <w:p w:rsidR="004139AB" w:rsidRDefault="00DB4AAB" w14:paraId="35049FBE"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Processor’s obligation to notify under paragraph 6 of this Joint Schedule 11 shall include the provision of further information to the Controller, as details become available. </w:t>
      </w:r>
    </w:p>
    <w:p w:rsidR="004139AB" w:rsidRDefault="00DB4AAB" w14:paraId="0D7110C5"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4139AB" w:rsidRDefault="00DB4AAB" w14:paraId="459D19C0"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with full details and copies of the complaint, communication or request;</w:t>
      </w:r>
    </w:p>
    <w:p w:rsidR="004139AB" w:rsidRDefault="00DB4AAB" w14:paraId="36F1BFD4"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such assistance as is reasonably requested by the Controller to enable it to comply with a Data Subject Access Request within the relevant timescales set out in the Data Protection Legislation; </w:t>
      </w:r>
    </w:p>
    <w:p w:rsidR="004139AB" w:rsidRDefault="00DB4AAB" w14:paraId="73590320"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the Controller, at its request, with any Personal Data it holds in relation to a Data Subject; </w:t>
      </w:r>
    </w:p>
    <w:p w:rsidR="004139AB" w:rsidRDefault="00DB4AAB" w14:paraId="38D9DE0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following any Personal Data Breach;  and/or</w:t>
      </w:r>
    </w:p>
    <w:p w:rsidR="004139AB" w:rsidRDefault="00DB4AAB" w14:paraId="1927B90B"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assistance as requested by the Controller with respect to any request from the Information Commissioner’s Office, or any consultation by the Controller with the Information Commissioner's Office.</w:t>
      </w:r>
    </w:p>
    <w:p w:rsidR="004139AB" w:rsidRDefault="00DB4AAB" w14:paraId="23F29032"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4139AB" w:rsidRDefault="00DB4AAB" w14:paraId="2B92A6A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that the Processing is not occasional;</w:t>
      </w:r>
    </w:p>
    <w:p w:rsidR="004139AB" w:rsidRDefault="00DB4AAB" w14:paraId="3410425D"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rsidR="004139AB" w:rsidRDefault="00DB4AAB" w14:paraId="6ECEC0A0"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the Controller determines that the Processing is likely to result in a risk to the rights and freedoms of Data Subjects.</w:t>
      </w:r>
    </w:p>
    <w:p w:rsidR="004139AB" w:rsidRDefault="00DB4AAB" w14:paraId="0CC0A7F9"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lnxbz9" w:colFirst="0" w:colLast="0" w:id="13"/>
      <w:bookmarkEnd w:id="13"/>
      <w:r>
        <w:rPr>
          <w:rFonts w:ascii="Arial" w:hAnsi="Arial" w:eastAsia="Arial" w:cs="Arial"/>
          <w:sz w:val="24"/>
          <w:szCs w:val="24"/>
        </w:rPr>
        <w:t>The Processor shall allow for audits of its Data Processing activity by the Controller or the Controller’s designated auditor.</w:t>
      </w:r>
    </w:p>
    <w:p w:rsidR="004139AB" w:rsidRDefault="00DB4AAB" w14:paraId="55F8BA05"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shall designate a Data Protection Officer if required by the Data Protection Legislation. </w:t>
      </w:r>
    </w:p>
    <w:p w:rsidR="004139AB" w:rsidRDefault="00DB4AAB" w14:paraId="4205455B"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Before allowing any Subprocessor to Process any Personal Data related to the Contract, the Processor must:</w:t>
      </w:r>
    </w:p>
    <w:p w:rsidR="004139AB" w:rsidRDefault="00DB4AAB" w14:paraId="5F42915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notify the Controller in writing of the intended Subprocessor and Processing;</w:t>
      </w:r>
    </w:p>
    <w:p w:rsidR="004139AB" w:rsidRDefault="00DB4AAB" w14:paraId="17CEBC48"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 xml:space="preserve">obtain the written consent of the Controller; </w:t>
      </w:r>
    </w:p>
    <w:p w:rsidR="004139AB" w:rsidRDefault="00DB4AAB" w14:paraId="7119CB6D"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enter into a written agreement with the Subprocessor which give effect to the terms set out in this Joint Schedule 11 such that they apply to the Subprocessor; and</w:t>
      </w:r>
    </w:p>
    <w:p w:rsidR="004139AB" w:rsidRDefault="00DB4AAB" w14:paraId="059E1A6C" w14:textId="77777777">
      <w:pPr>
        <w:numPr>
          <w:ilvl w:val="2"/>
          <w:numId w:val="11"/>
        </w:numPr>
        <w:pBdr>
          <w:top w:val="nil"/>
          <w:left w:val="nil"/>
          <w:bottom w:val="nil"/>
          <w:right w:val="nil"/>
          <w:between w:val="nil"/>
        </w:pBdr>
        <w:spacing w:after="120" w:line="240" w:lineRule="auto"/>
        <w:jc w:val="both"/>
        <w:rPr>
          <w:rFonts w:ascii="Arial" w:hAnsi="Arial" w:eastAsia="Arial" w:cs="Arial"/>
          <w:sz w:val="24"/>
          <w:szCs w:val="24"/>
        </w:rPr>
      </w:pPr>
      <w:r>
        <w:rPr>
          <w:rFonts w:ascii="Arial" w:hAnsi="Arial" w:eastAsia="Arial" w:cs="Arial"/>
          <w:sz w:val="24"/>
          <w:szCs w:val="24"/>
        </w:rPr>
        <w:t>provide the Controller with such information regarding the Subprocessor as the Controller may reasonably require.</w:t>
      </w:r>
    </w:p>
    <w:p w:rsidR="004139AB" w:rsidRDefault="00DB4AAB" w14:paraId="1D686499"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Processor shall remain fully liable for all acts or omissions of any of its Subprocessors.</w:t>
      </w:r>
    </w:p>
    <w:p w:rsidR="004139AB" w:rsidRDefault="00DB4AAB" w14:paraId="48E8005F"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bookmarkStart w:name="bookmark=id.35nkun2" w:colFirst="0" w:colLast="0" w:id="14"/>
      <w:bookmarkEnd w:id="14"/>
      <w:r>
        <w:rPr>
          <w:rFonts w:ascii="Arial" w:hAnsi="Arial" w:eastAsia="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hAnsi="Arial" w:eastAsia="Arial" w:cs="Arial"/>
          <w:sz w:val="24"/>
          <w:szCs w:val="24"/>
        </w:rPr>
        <w:t>applicable certification scheme (which shall apply when incorporated by attachment to the Contract).</w:t>
      </w:r>
    </w:p>
    <w:p w:rsidR="004139AB" w:rsidRDefault="00DB4AAB" w14:paraId="07631E99"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4139AB" w:rsidRDefault="00DB4AAB" w14:paraId="00997E25"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Where the Parties are Joint Controllers of Personal Data </w:t>
      </w:r>
    </w:p>
    <w:p w:rsidR="004139AB" w:rsidRDefault="00DB4AAB" w14:paraId="1B890B83"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4139AB" w:rsidRDefault="00DB4AAB" w14:paraId="738B71A9" w14:textId="77777777">
      <w:pPr>
        <w:keepNext/>
        <w:pBdr>
          <w:top w:val="nil"/>
          <w:left w:val="nil"/>
          <w:bottom w:val="nil"/>
          <w:right w:val="nil"/>
          <w:between w:val="nil"/>
        </w:pBdr>
        <w:spacing w:after="220" w:line="240" w:lineRule="auto"/>
        <w:jc w:val="both"/>
        <w:rPr>
          <w:rFonts w:ascii="Arial" w:hAnsi="Arial" w:eastAsia="Arial" w:cs="Arial"/>
          <w:b/>
          <w:color w:val="000000"/>
          <w:sz w:val="24"/>
          <w:szCs w:val="24"/>
        </w:rPr>
      </w:pPr>
      <w:r>
        <w:rPr>
          <w:rFonts w:ascii="Arial" w:hAnsi="Arial" w:eastAsia="Arial" w:cs="Arial"/>
          <w:b/>
          <w:color w:val="000000"/>
          <w:sz w:val="24"/>
          <w:szCs w:val="24"/>
        </w:rPr>
        <w:t xml:space="preserve">Independent Controllers of Personal Data </w:t>
      </w:r>
    </w:p>
    <w:p w:rsidR="004139AB" w:rsidRDefault="00DB4AAB" w14:paraId="47945A44"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4139AB" w:rsidRDefault="00DB4AAB" w14:paraId="2157BA4C"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Each Party shall Process the Personal Data in compliance with its obligations under the Data Protection Legislation and not do anything to cause the other Party to be in breach of it. </w:t>
      </w:r>
    </w:p>
    <w:p w:rsidR="004139AB" w:rsidRDefault="00DB4AAB" w14:paraId="3D92B60C"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4139AB" w:rsidRDefault="00DB4AAB" w14:paraId="405ECC4A"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The Parties shall be responsible for their own compliance with Articles 13 and 14 UK GDPR in respect of the Processing of Personal Data for the purposes of the Contract. </w:t>
      </w:r>
    </w:p>
    <w:p w:rsidR="004139AB" w:rsidRDefault="00DB4AAB" w14:paraId="0FD01C3C"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Parties shall only provide Personal Data to each other:</w:t>
      </w:r>
    </w:p>
    <w:p w:rsidR="004139AB" w:rsidRDefault="00DB4AAB" w14:paraId="3DD7EC1C"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to the extent necessary to perform their respective obligations under the Contract;</w:t>
      </w:r>
    </w:p>
    <w:p w:rsidR="004139AB" w:rsidRDefault="00DB4AAB" w14:paraId="1F89BE7F"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in compliance with the Data Protection Legislation (including by ensuring all required data privacy information has been given to affected Data Subjects to meet the requirements of Articles 13 and 14 of the UK GDPR); and</w:t>
      </w:r>
    </w:p>
    <w:p w:rsidR="004139AB" w:rsidRDefault="00DB4AAB" w14:paraId="025DDD31"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it has recorded it in Annex 1 </w:t>
      </w:r>
      <w:r>
        <w:rPr>
          <w:rFonts w:ascii="Arial" w:hAnsi="Arial" w:eastAsia="Arial" w:cs="Arial"/>
          <w:i/>
          <w:sz w:val="24"/>
          <w:szCs w:val="24"/>
        </w:rPr>
        <w:t>(Processing Personal Data).</w:t>
      </w:r>
    </w:p>
    <w:p w:rsidR="004139AB" w:rsidRDefault="00DB4AAB" w14:paraId="65FB461D"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hAnsi="Arial" w:eastAsia="Arial" w:cs="Arial"/>
          <w:sz w:val="24"/>
          <w:szCs w:val="24"/>
        </w:rPr>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4139AB" w:rsidRDefault="00DB4AAB" w14:paraId="73BDB1E8"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4139AB" w:rsidRDefault="00DB4AAB" w14:paraId="4F5F0D49"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hAnsi="Arial" w:eastAsia="Arial" w:cs="Arial"/>
          <w:b/>
          <w:sz w:val="24"/>
          <w:szCs w:val="24"/>
        </w:rPr>
        <w:t>(“Request Recipient”)</w:t>
      </w:r>
      <w:r>
        <w:rPr>
          <w:rFonts w:ascii="Arial" w:hAnsi="Arial" w:eastAsia="Arial" w:cs="Arial"/>
          <w:sz w:val="24"/>
          <w:szCs w:val="24"/>
        </w:rPr>
        <w:t>:</w:t>
      </w:r>
    </w:p>
    <w:p w:rsidR="004139AB" w:rsidRDefault="00DB4AAB" w14:paraId="0C8D9B0A"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the other Party shall provide any information and/or assistance as reasonably requested by the Request Recipient to help it respond to the request or correspondence, at the cost of the Request Recipient; or</w:t>
      </w:r>
    </w:p>
    <w:p w:rsidR="004139AB" w:rsidRDefault="00DB4AAB" w14:paraId="2F81893A"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where the request or correspondence is directed to the other Party and/or relates to that other Party's Processing of the Personal Data, the Request Recipient  will:</w:t>
      </w:r>
    </w:p>
    <w:p w:rsidR="004139AB" w:rsidRDefault="00DB4AAB" w14:paraId="177A5190" w14:textId="77777777">
      <w:pPr>
        <w:numPr>
          <w:ilvl w:val="3"/>
          <w:numId w:val="11"/>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4139AB" w:rsidRDefault="00DB4AAB" w14:paraId="4A97AC79" w14:textId="77777777">
      <w:pPr>
        <w:numPr>
          <w:ilvl w:val="3"/>
          <w:numId w:val="11"/>
        </w:numPr>
        <w:pBdr>
          <w:top w:val="nil"/>
          <w:left w:val="nil"/>
          <w:bottom w:val="nil"/>
          <w:right w:val="nil"/>
          <w:between w:val="nil"/>
        </w:pBdr>
        <w:spacing w:before="280" w:after="120" w:line="240" w:lineRule="auto"/>
        <w:ind w:hanging="707"/>
        <w:jc w:val="both"/>
        <w:rPr>
          <w:rFonts w:ascii="Arial" w:hAnsi="Arial" w:eastAsia="Arial" w:cs="Arial"/>
          <w:sz w:val="24"/>
          <w:szCs w:val="24"/>
        </w:rPr>
      </w:pPr>
      <w:r>
        <w:rPr>
          <w:rFonts w:ascii="Arial" w:hAnsi="Arial" w:eastAsia="Arial" w:cs="Arial"/>
          <w:sz w:val="24"/>
          <w:szCs w:val="24"/>
        </w:rPr>
        <w:t>provide any information and/or assistance as reasonably requested by the other Party to help it respond to the request or correspondence in the timeframes specified by Data Protection Legislation.</w:t>
      </w:r>
    </w:p>
    <w:p w:rsidR="004139AB" w:rsidRDefault="00DB4AAB" w14:paraId="37C06969"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Each Party shall promptly notify the other Party upon it becoming aware of any Personal Data Breach relating to Personal Data provided by the other Party pursuant to the Contract and shall: </w:t>
      </w:r>
    </w:p>
    <w:p w:rsidR="004139AB" w:rsidRDefault="00DB4AAB" w14:paraId="6B98B79C"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do all such things as reasonably necessary to assist the other Party in mitigating the effects of the Personal Data Breach; </w:t>
      </w:r>
    </w:p>
    <w:p w:rsidR="004139AB" w:rsidRDefault="00DB4AAB" w14:paraId="5CC8CD09"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implement any measures necessary to restore the security of any compromised Personal Data; </w:t>
      </w:r>
    </w:p>
    <w:p w:rsidR="004139AB" w:rsidRDefault="00DB4AAB" w14:paraId="1E6ECBBB"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4139AB" w:rsidRDefault="00DB4AAB" w14:paraId="1B8A8945" w14:textId="77777777">
      <w:pPr>
        <w:numPr>
          <w:ilvl w:val="2"/>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not do anything which may damage the reputation of the other Party or that Party's relationship with the relevant Data Subjects, save as required by Law. </w:t>
      </w:r>
    </w:p>
    <w:p w:rsidR="004139AB" w:rsidRDefault="00DB4AAB" w14:paraId="2CC0E8B8"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 xml:space="preserve">Personal Data provided by one Party to the other Party may be used exclusively to exercise rights and obligations under the Contract as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w:rsidR="004139AB" w:rsidRDefault="00DB4AAB" w14:paraId="7FACADB6"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ab/>
      </w:r>
      <w:r>
        <w:rPr>
          <w:rFonts w:ascii="Arial" w:hAnsi="Arial" w:eastAsia="Arial" w:cs="Arial"/>
          <w:sz w:val="24"/>
          <w:szCs w:val="24"/>
        </w:rPr>
        <w:t xml:space="preserve">Personal Data shall not be retained or processed for longer than is necessary to perform each Party’s respective obligations under the Contract which is specified in Annex 1 </w:t>
      </w:r>
      <w:r>
        <w:rPr>
          <w:rFonts w:ascii="Arial" w:hAnsi="Arial" w:eastAsia="Arial" w:cs="Arial"/>
          <w:i/>
          <w:sz w:val="24"/>
          <w:szCs w:val="24"/>
        </w:rPr>
        <w:t>(Processing Personal Data)</w:t>
      </w:r>
      <w:r>
        <w:rPr>
          <w:rFonts w:ascii="Arial" w:hAnsi="Arial" w:eastAsia="Arial" w:cs="Arial"/>
          <w:sz w:val="24"/>
          <w:szCs w:val="24"/>
        </w:rPr>
        <w:t xml:space="preserve">. </w:t>
      </w:r>
    </w:p>
    <w:p w:rsidR="004139AB" w:rsidRDefault="00DB4AAB" w14:paraId="1E911B47" w14:textId="77777777">
      <w:pPr>
        <w:numPr>
          <w:ilvl w:val="1"/>
          <w:numId w:val="11"/>
        </w:numPr>
        <w:pBdr>
          <w:top w:val="nil"/>
          <w:left w:val="nil"/>
          <w:bottom w:val="nil"/>
          <w:right w:val="nil"/>
          <w:between w:val="nil"/>
        </w:pBdr>
        <w:spacing w:before="280" w:after="120" w:line="240" w:lineRule="auto"/>
        <w:jc w:val="both"/>
        <w:rPr>
          <w:rFonts w:ascii="Arial" w:hAnsi="Arial" w:eastAsia="Arial" w:cs="Arial"/>
          <w:sz w:val="24"/>
          <w:szCs w:val="24"/>
        </w:rPr>
      </w:pPr>
      <w:r>
        <w:rPr>
          <w:rFonts w:ascii="Arial" w:hAnsi="Arial" w:eastAsia="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rsidR="004139AB" w:rsidRDefault="004139AB" w14:paraId="3FD02585" w14:textId="77777777">
      <w:pPr>
        <w:pBdr>
          <w:top w:val="nil"/>
          <w:left w:val="nil"/>
          <w:bottom w:val="nil"/>
          <w:right w:val="nil"/>
          <w:between w:val="nil"/>
        </w:pBdr>
        <w:spacing w:before="280" w:after="120"/>
        <w:ind w:left="709"/>
        <w:rPr>
          <w:rFonts w:ascii="Arial" w:hAnsi="Arial" w:eastAsia="Arial" w:cs="Arial"/>
          <w:sz w:val="24"/>
          <w:szCs w:val="24"/>
        </w:rPr>
      </w:pPr>
    </w:p>
    <w:p w:rsidR="004139AB" w:rsidRDefault="00DB4AAB" w14:paraId="2F3C3808" w14:textId="77777777">
      <w:pPr>
        <w:pStyle w:val="Heading2"/>
        <w:spacing w:before="0" w:after="240"/>
        <w:ind w:left="709" w:hanging="709"/>
        <w:rPr>
          <w:rFonts w:ascii="Arial" w:hAnsi="Arial" w:eastAsia="Arial" w:cs="Arial"/>
          <w:b w:val="0"/>
          <w:sz w:val="24"/>
          <w:szCs w:val="24"/>
        </w:rPr>
      </w:pPr>
      <w:r>
        <w:br w:type="page"/>
      </w:r>
      <w:r>
        <w:rPr>
          <w:rFonts w:ascii="Arial" w:hAnsi="Arial" w:eastAsia="Arial" w:cs="Arial"/>
          <w:sz w:val="24"/>
          <w:szCs w:val="24"/>
        </w:rPr>
        <w:t>Annex 1 - Processing Personal Data</w:t>
      </w:r>
    </w:p>
    <w:p w:rsidRPr="00957FAF" w:rsidR="004139AB" w:rsidP="00957FAF" w:rsidRDefault="00501829" w14:paraId="3B720FA3" w14:textId="523921AD">
      <w:pPr>
        <w:rPr>
          <w:rFonts w:ascii="Arial" w:hAnsi="Arial" w:eastAsia="Arial" w:cs="Arial"/>
          <w:color w:val="000000"/>
          <w:sz w:val="24"/>
          <w:szCs w:val="24"/>
        </w:rPr>
      </w:pPr>
      <w:bookmarkStart w:name="bookmark=id.1ksv4uv" w:colFirst="0" w:colLast="0" w:id="15"/>
      <w:bookmarkStart w:name="_heading=h.44sinio" w:colFirst="0" w:colLast="0" w:id="16"/>
      <w:bookmarkEnd w:id="15"/>
      <w:bookmarkEnd w:id="16"/>
      <w:r>
        <w:rPr>
          <w:rFonts w:ascii="Arial" w:hAnsi="Arial" w:eastAsia="Arial" w:cs="Arial"/>
          <w:color w:val="000000"/>
          <w:sz w:val="24"/>
          <w:szCs w:val="24"/>
        </w:rPr>
        <w:t>Not applicable.</w:t>
      </w:r>
    </w:p>
    <w:sectPr w:rsidRPr="00957FAF" w:rsidR="004139AB">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C045D" w:rsidRDefault="00EC045D" w14:paraId="060CB302" w14:textId="77777777">
      <w:pPr>
        <w:spacing w:after="0" w:line="240" w:lineRule="auto"/>
      </w:pPr>
      <w:r>
        <w:separator/>
      </w:r>
    </w:p>
  </w:endnote>
  <w:endnote w:type="continuationSeparator" w:id="0">
    <w:p w:rsidR="00EC045D" w:rsidRDefault="00EC045D" w14:paraId="0A630244" w14:textId="77777777">
      <w:pPr>
        <w:spacing w:after="0" w:line="240" w:lineRule="auto"/>
      </w:pPr>
      <w:r>
        <w:continuationSeparator/>
      </w:r>
    </w:p>
  </w:endnote>
  <w:endnote w:type="continuationNotice" w:id="1">
    <w:p w:rsidR="00EC045D" w:rsidRDefault="00EC045D" w14:paraId="140ED7E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28BD" w:rsidRDefault="002928BD" w14:paraId="11D9041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4139AB" w:rsidRDefault="00EB2AE4" w14:paraId="0B8041C3" w14:textId="1FAE7380">
    <w:pPr>
      <w:tabs>
        <w:tab w:val="center" w:pos="4513"/>
        <w:tab w:val="right" w:pos="9026"/>
      </w:tabs>
      <w:spacing w:after="0"/>
      <w:rPr>
        <w:rFonts w:ascii="Arial" w:hAnsi="Arial" w:eastAsia="Arial" w:cs="Arial"/>
        <w:sz w:val="20"/>
        <w:szCs w:val="20"/>
      </w:rPr>
    </w:pPr>
    <w:r>
      <w:rPr>
        <w:rFonts w:ascii="Arial" w:hAnsi="Arial" w:eastAsia="Arial" w:cs="Arial"/>
        <w:noProof/>
        <w:sz w:val="20"/>
        <w:szCs w:val="20"/>
      </w:rPr>
      <mc:AlternateContent>
        <mc:Choice Requires="wps">
          <w:drawing>
            <wp:anchor distT="0" distB="0" distL="114300" distR="114300" simplePos="0" relativeHeight="251658240" behindDoc="0" locked="0" layoutInCell="0" allowOverlap="1" wp14:anchorId="0291B33F" wp14:editId="05BEA98D">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EB2AE4" w:rsidR="00EB2AE4" w:rsidP="00EB2AE4" w:rsidRDefault="00EB2AE4" w14:paraId="700192A5" w14:textId="5ACC88F1">
                          <w:pPr>
                            <w:spacing w:after="0"/>
                            <w:jc w:val="center"/>
                            <w:rPr>
                              <w:color w:val="000000"/>
                              <w:sz w:val="20"/>
                            </w:rPr>
                          </w:pPr>
                          <w:r w:rsidRPr="00EB2AE4">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3232847D">
            <v:shapetype id="_x0000_t202" coordsize="21600,21600" o:spt="202" path="m,l,21600r21600,l21600,xe" w14:anchorId="0291B33F">
              <v:stroke joinstyle="miter"/>
              <v:path gradientshapeok="t" o:connecttype="rect"/>
            </v:shapetype>
            <v:shape id="Text Box 1"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textbox inset=",0,,0">
                <w:txbxContent>
                  <w:p w:rsidRPr="00EB2AE4" w:rsidR="00EB2AE4" w:rsidP="00EB2AE4" w:rsidRDefault="00EB2AE4" w14:paraId="08CE8BEA" w14:textId="5ACC88F1">
                    <w:pPr>
                      <w:spacing w:after="0"/>
                      <w:jc w:val="center"/>
                      <w:rPr>
                        <w:color w:val="000000"/>
                        <w:sz w:val="20"/>
                      </w:rPr>
                    </w:pPr>
                    <w:r w:rsidRPr="00EB2AE4">
                      <w:rPr>
                        <w:color w:val="000000"/>
                        <w:sz w:val="20"/>
                      </w:rPr>
                      <w:t>OFFICIAL</w:t>
                    </w:r>
                  </w:p>
                </w:txbxContent>
              </v:textbox>
              <w10:wrap anchorx="page" anchory="page"/>
            </v:shape>
          </w:pict>
        </mc:Fallback>
      </mc:AlternateContent>
    </w:r>
    <w:r w:rsidR="00DB4AAB">
      <w:rPr>
        <w:rFonts w:ascii="Arial" w:hAnsi="Arial" w:eastAsia="Arial" w:cs="Arial"/>
        <w:sz w:val="20"/>
        <w:szCs w:val="20"/>
      </w:rPr>
      <w:t xml:space="preserve">RM6126 - Research &amp; Insights DPS                                           </w:t>
    </w:r>
  </w:p>
  <w:p w:rsidR="004139AB" w:rsidRDefault="00DB4AAB" w14:paraId="52679B99"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7032EF">
      <w:rPr>
        <w:rFonts w:ascii="Arial" w:hAnsi="Arial" w:eastAsia="Arial" w:cs="Arial"/>
        <w:noProof/>
        <w:color w:val="000000"/>
        <w:sz w:val="20"/>
        <w:szCs w:val="20"/>
      </w:rPr>
      <w:t>1</w:t>
    </w:r>
    <w:r>
      <w:rPr>
        <w:rFonts w:ascii="Arial" w:hAnsi="Arial" w:eastAsia="Arial" w:cs="Arial"/>
        <w:color w:val="000000"/>
        <w:sz w:val="20"/>
        <w:szCs w:val="20"/>
      </w:rPr>
      <w:fldChar w:fldCharType="end"/>
    </w:r>
    <w:r>
      <w:rPr>
        <w:rFonts w:ascii="Arial" w:hAnsi="Arial" w:eastAsia="Arial" w:cs="Arial"/>
        <w:color w:val="000000"/>
        <w:sz w:val="20"/>
        <w:szCs w:val="20"/>
      </w:rPr>
      <w:t>-</w:t>
    </w:r>
  </w:p>
  <w:p w:rsidR="004139AB" w:rsidRDefault="00DB4AAB" w14:paraId="6BC91A8A" w14:textId="77777777">
    <w:pPr>
      <w:spacing w:after="0"/>
    </w:pPr>
    <w:r>
      <w:rPr>
        <w:rFonts w:ascii="Arial" w:hAnsi="Arial" w:eastAsia="Arial" w:cs="Arial"/>
        <w:sz w:val="20"/>
        <w:szCs w:val="20"/>
      </w:rPr>
      <w:t>Model Version: v1.3</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39AB" w:rsidRDefault="00DB4AAB" w14:paraId="05D9C00F"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Framework Ref: RM</w:t>
    </w:r>
    <w:r>
      <w:rPr>
        <w:rFonts w:ascii="Arial" w:hAnsi="Arial" w:eastAsia="Arial" w:cs="Arial"/>
        <w:sz w:val="20"/>
        <w:szCs w:val="20"/>
      </w:rPr>
      <w:tab/>
    </w:r>
    <w:r>
      <w:rPr>
        <w:rFonts w:ascii="Arial" w:hAnsi="Arial" w:eastAsia="Arial" w:cs="Arial"/>
        <w:sz w:val="20"/>
        <w:szCs w:val="20"/>
      </w:rPr>
      <w:t xml:space="preserve">                                           </w:t>
    </w:r>
  </w:p>
  <w:p w:rsidR="004139AB" w:rsidRDefault="00DB4AAB" w14:paraId="0DA9B70D"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t xml:space="preserve"> -</w:t>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sidR="00501829">
      <w:rPr>
        <w:rFonts w:ascii="Arial" w:hAnsi="Arial" w:eastAsia="Arial" w:cs="Arial"/>
        <w:color w:val="000000"/>
        <w:sz w:val="20"/>
        <w:szCs w:val="20"/>
      </w:rPr>
      <w:fldChar w:fldCharType="separate"/>
    </w:r>
    <w:r>
      <w:rPr>
        <w:rFonts w:ascii="Arial" w:hAnsi="Arial" w:eastAsia="Arial" w:cs="Arial"/>
        <w:color w:val="000000"/>
        <w:sz w:val="20"/>
        <w:szCs w:val="20"/>
      </w:rPr>
      <w:fldChar w:fldCharType="end"/>
    </w:r>
    <w:r>
      <w:rPr>
        <w:rFonts w:ascii="Arial" w:hAnsi="Arial" w:eastAsia="Arial" w:cs="Arial"/>
        <w:color w:val="000000"/>
        <w:sz w:val="20"/>
        <w:szCs w:val="20"/>
      </w:rPr>
      <w:t>-</w:t>
    </w:r>
  </w:p>
  <w:p w:rsidR="004139AB" w:rsidRDefault="00DB4AAB" w14:paraId="42E018A8" w14:textId="77777777">
    <w:pPr>
      <w:spacing w:after="0"/>
    </w:pPr>
    <w:r>
      <w:rPr>
        <w:rFonts w:ascii="Arial" w:hAnsi="Arial" w:eastAsia="Arial" w:cs="Arial"/>
        <w:sz w:val="20"/>
        <w:szCs w:val="20"/>
      </w:rPr>
      <w:t>Model Version: v3.0</w:t>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rPr>
        <w:rFonts w:ascii="Arial" w:hAnsi="Arial" w:eastAsia="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C045D" w:rsidRDefault="00EC045D" w14:paraId="07446FBC" w14:textId="77777777">
      <w:pPr>
        <w:spacing w:after="0" w:line="240" w:lineRule="auto"/>
      </w:pPr>
      <w:r>
        <w:separator/>
      </w:r>
    </w:p>
  </w:footnote>
  <w:footnote w:type="continuationSeparator" w:id="0">
    <w:p w:rsidR="00EC045D" w:rsidRDefault="00EC045D" w14:paraId="146457C5" w14:textId="77777777">
      <w:pPr>
        <w:spacing w:after="0" w:line="240" w:lineRule="auto"/>
      </w:pPr>
      <w:r>
        <w:continuationSeparator/>
      </w:r>
    </w:p>
  </w:footnote>
  <w:footnote w:type="continuationNotice" w:id="1">
    <w:p w:rsidR="00EC045D" w:rsidRDefault="00EC045D" w14:paraId="4042C01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928BD" w:rsidRDefault="002928BD" w14:paraId="0F71306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39AB" w:rsidRDefault="00DB4AAB" w14:paraId="36320C15" w14:textId="77777777">
    <w:pPr>
      <w:pBdr>
        <w:top w:val="nil"/>
        <w:left w:val="nil"/>
        <w:bottom w:val="nil"/>
        <w:right w:val="nil"/>
        <w:between w:val="nil"/>
      </w:pBdr>
      <w:tabs>
        <w:tab w:val="center" w:pos="4513"/>
        <w:tab w:val="right" w:pos="9026"/>
      </w:tabs>
      <w:spacing w:after="0" w:line="240" w:lineRule="auto"/>
      <w:rPr>
        <w:rFonts w:ascii="Arial" w:hAnsi="Arial" w:eastAsia="Arial" w:cs="Arial"/>
        <w:b/>
        <w:color w:val="000000"/>
        <w:sz w:val="20"/>
        <w:szCs w:val="20"/>
      </w:rPr>
    </w:pPr>
    <w:r>
      <w:rPr>
        <w:rFonts w:ascii="Arial" w:hAnsi="Arial" w:eastAsia="Arial" w:cs="Arial"/>
        <w:b/>
        <w:color w:val="000000"/>
        <w:sz w:val="20"/>
        <w:szCs w:val="20"/>
      </w:rPr>
      <w:t>Joint Schedule 11 (Processing Data)</w:t>
    </w:r>
  </w:p>
  <w:p w:rsidR="004139AB" w:rsidRDefault="00DB4AAB" w14:paraId="3906521A"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202</w:t>
    </w:r>
    <w:r>
      <w:rPr>
        <w:rFonts w:ascii="Arial" w:hAnsi="Arial" w:eastAsia="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4139AB" w:rsidRDefault="00DB4AAB" w14:paraId="73F9A3BB" w14:textId="77777777">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1" behindDoc="0" locked="0" layoutInCell="1" hidden="0" allowOverlap="1" wp14:anchorId="078B027C" wp14:editId="7AEB066A">
          <wp:simplePos x="0" y="0"/>
          <wp:positionH relativeFrom="column">
            <wp:posOffset>5714365</wp:posOffset>
          </wp:positionH>
          <wp:positionV relativeFrom="paragraph">
            <wp:posOffset>-13331</wp:posOffset>
          </wp:positionV>
          <wp:extent cx="849085" cy="685627"/>
          <wp:effectExtent l="0" t="0" r="0" b="0"/>
          <wp:wrapNone/>
          <wp:docPr id="4" name="Picture 4"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22D14"/>
    <w:multiLevelType w:val="multilevel"/>
    <w:tmpl w:val="1446195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285210E3"/>
    <w:multiLevelType w:val="multilevel"/>
    <w:tmpl w:val="085853B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E897AE5"/>
    <w:multiLevelType w:val="multilevel"/>
    <w:tmpl w:val="D2F46B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F6D2AA6"/>
    <w:multiLevelType w:val="multilevel"/>
    <w:tmpl w:val="DAD0F2B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5DA1EA1"/>
    <w:multiLevelType w:val="multilevel"/>
    <w:tmpl w:val="73A600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413605D7"/>
    <w:multiLevelType w:val="multilevel"/>
    <w:tmpl w:val="74241750"/>
    <w:lvl w:ilvl="0">
      <w:start w:val="1"/>
      <w:numFmt w:val="bullet"/>
      <w:pStyle w:val="Schedule"/>
      <w:lvlText w:val="●"/>
      <w:lvlJc w:val="left"/>
      <w:pPr>
        <w:ind w:left="720" w:hanging="360"/>
      </w:pPr>
      <w:rPr>
        <w:rFonts w:ascii="Noto Sans Symbols" w:hAnsi="Noto Sans Symbols" w:eastAsia="Noto Sans Symbols" w:cs="Noto Sans Symbols"/>
      </w:rPr>
    </w:lvl>
    <w:lvl w:ilvl="1">
      <w:start w:val="1"/>
      <w:numFmt w:val="bullet"/>
      <w:pStyle w:val="Part"/>
      <w:lvlText w:val="o"/>
      <w:lvlJc w:val="left"/>
      <w:pPr>
        <w:ind w:left="1440" w:hanging="360"/>
      </w:pPr>
      <w:rPr>
        <w:rFonts w:ascii="Courier New" w:hAnsi="Courier New" w:eastAsia="Courier New" w:cs="Courier New"/>
      </w:rPr>
    </w:lvl>
    <w:lvl w:ilvl="2">
      <w:start w:val="1"/>
      <w:numFmt w:val="bullet"/>
      <w:pStyle w:val="ScheduleTitleClause"/>
      <w:lvlText w:val="▪"/>
      <w:lvlJc w:val="left"/>
      <w:pPr>
        <w:ind w:left="2160" w:hanging="360"/>
      </w:pPr>
      <w:rPr>
        <w:rFonts w:ascii="Noto Sans Symbols" w:hAnsi="Noto Sans Symbols" w:eastAsia="Noto Sans Symbols" w:cs="Noto Sans Symbols"/>
      </w:rPr>
    </w:lvl>
    <w:lvl w:ilvl="3">
      <w:start w:val="1"/>
      <w:numFmt w:val="bullet"/>
      <w:pStyle w:val="ScheduleUntitledsubclause1"/>
      <w:lvlText w:val="●"/>
      <w:lvlJc w:val="left"/>
      <w:pPr>
        <w:ind w:left="2880" w:hanging="360"/>
      </w:pPr>
      <w:rPr>
        <w:rFonts w:ascii="Noto Sans Symbols" w:hAnsi="Noto Sans Symbols" w:eastAsia="Noto Sans Symbols" w:cs="Noto Sans Symbols"/>
      </w:rPr>
    </w:lvl>
    <w:lvl w:ilvl="4">
      <w:start w:val="1"/>
      <w:numFmt w:val="bullet"/>
      <w:pStyle w:val="ScheduleUntitledsubclause2"/>
      <w:lvlText w:val="o"/>
      <w:lvlJc w:val="left"/>
      <w:pPr>
        <w:ind w:left="3600" w:hanging="360"/>
      </w:pPr>
      <w:rPr>
        <w:rFonts w:ascii="Courier New" w:hAnsi="Courier New" w:eastAsia="Courier New" w:cs="Courier New"/>
      </w:rPr>
    </w:lvl>
    <w:lvl w:ilvl="5">
      <w:start w:val="1"/>
      <w:numFmt w:val="bullet"/>
      <w:pStyle w:val="ScheduleUntitledsubclause3"/>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6" w15:restartNumberingAfterBreak="0">
    <w:nsid w:val="498F25AB"/>
    <w:multiLevelType w:val="multilevel"/>
    <w:tmpl w:val="9738C386"/>
    <w:lvl w:ilvl="0">
      <w:start w:val="1"/>
      <w:numFmt w:val="bullet"/>
      <w:pStyle w:val="TLTLevel1"/>
      <w:lvlText w:val="●"/>
      <w:lvlJc w:val="left"/>
      <w:pPr>
        <w:ind w:left="720" w:hanging="360"/>
      </w:pPr>
      <w:rPr>
        <w:rFonts w:ascii="Noto Sans Symbols" w:hAnsi="Noto Sans Symbols" w:eastAsia="Noto Sans Symbols" w:cs="Noto Sans Symbols"/>
      </w:rPr>
    </w:lvl>
    <w:lvl w:ilvl="1">
      <w:start w:val="1"/>
      <w:numFmt w:val="bullet"/>
      <w:pStyle w:val="TLTLevel2"/>
      <w:lvlText w:val="o"/>
      <w:lvlJc w:val="left"/>
      <w:pPr>
        <w:ind w:left="1440" w:hanging="360"/>
      </w:pPr>
      <w:rPr>
        <w:rFonts w:ascii="Courier New" w:hAnsi="Courier New" w:eastAsia="Courier New" w:cs="Courier New"/>
      </w:rPr>
    </w:lvl>
    <w:lvl w:ilvl="2">
      <w:start w:val="1"/>
      <w:numFmt w:val="bullet"/>
      <w:pStyle w:val="TLTLevel3"/>
      <w:lvlText w:val="▪"/>
      <w:lvlJc w:val="left"/>
      <w:pPr>
        <w:ind w:left="2160" w:hanging="360"/>
      </w:pPr>
      <w:rPr>
        <w:rFonts w:ascii="Noto Sans Symbols" w:hAnsi="Noto Sans Symbols" w:eastAsia="Noto Sans Symbols" w:cs="Noto Sans Symbols"/>
      </w:rPr>
    </w:lvl>
    <w:lvl w:ilvl="3">
      <w:start w:val="1"/>
      <w:numFmt w:val="bullet"/>
      <w:pStyle w:val="TLTLevel4"/>
      <w:lvlText w:val="●"/>
      <w:lvlJc w:val="left"/>
      <w:pPr>
        <w:ind w:left="2880" w:hanging="360"/>
      </w:pPr>
      <w:rPr>
        <w:rFonts w:ascii="Noto Sans Symbols" w:hAnsi="Noto Sans Symbols" w:eastAsia="Noto Sans Symbols" w:cs="Noto Sans Symbols"/>
      </w:rPr>
    </w:lvl>
    <w:lvl w:ilvl="4">
      <w:start w:val="1"/>
      <w:numFmt w:val="bullet"/>
      <w:pStyle w:val="TLTLevel5"/>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5754731F"/>
    <w:multiLevelType w:val="multilevel"/>
    <w:tmpl w:val="716A511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7594BBB"/>
    <w:multiLevelType w:val="multilevel"/>
    <w:tmpl w:val="F91C35F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C0B56EA"/>
    <w:multiLevelType w:val="multilevel"/>
    <w:tmpl w:val="4A20261E"/>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1647B05"/>
    <w:multiLevelType w:val="multilevel"/>
    <w:tmpl w:val="7908A41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1" w15:restartNumberingAfterBreak="0">
    <w:nsid w:val="685E2CFF"/>
    <w:multiLevelType w:val="multilevel"/>
    <w:tmpl w:val="C8CCD1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03A23EF"/>
    <w:multiLevelType w:val="multilevel"/>
    <w:tmpl w:val="5DD088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16cid:durableId="1516456683">
    <w:abstractNumId w:val="5"/>
  </w:num>
  <w:num w:numId="2" w16cid:durableId="1997297593">
    <w:abstractNumId w:val="9"/>
  </w:num>
  <w:num w:numId="3" w16cid:durableId="234168022">
    <w:abstractNumId w:val="6"/>
  </w:num>
  <w:num w:numId="4" w16cid:durableId="949050318">
    <w:abstractNumId w:val="3"/>
  </w:num>
  <w:num w:numId="5" w16cid:durableId="1868368073">
    <w:abstractNumId w:val="12"/>
  </w:num>
  <w:num w:numId="6" w16cid:durableId="1131822537">
    <w:abstractNumId w:val="11"/>
  </w:num>
  <w:num w:numId="7" w16cid:durableId="1495223270">
    <w:abstractNumId w:val="1"/>
  </w:num>
  <w:num w:numId="8" w16cid:durableId="1127964884">
    <w:abstractNumId w:val="2"/>
  </w:num>
  <w:num w:numId="9" w16cid:durableId="1197347465">
    <w:abstractNumId w:val="7"/>
  </w:num>
  <w:num w:numId="10" w16cid:durableId="192891823">
    <w:abstractNumId w:val="0"/>
  </w:num>
  <w:num w:numId="11" w16cid:durableId="1304703016">
    <w:abstractNumId w:val="4"/>
  </w:num>
  <w:num w:numId="12" w16cid:durableId="1221092612">
    <w:abstractNumId w:val="8"/>
  </w:num>
  <w:num w:numId="13" w16cid:durableId="1628852972">
    <w:abstractNumId w:val="1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9AB"/>
    <w:rsid w:val="00062073"/>
    <w:rsid w:val="00105E47"/>
    <w:rsid w:val="001A646C"/>
    <w:rsid w:val="002728EA"/>
    <w:rsid w:val="002928BD"/>
    <w:rsid w:val="00297177"/>
    <w:rsid w:val="00297E82"/>
    <w:rsid w:val="002F093B"/>
    <w:rsid w:val="00301B01"/>
    <w:rsid w:val="004139AB"/>
    <w:rsid w:val="00501829"/>
    <w:rsid w:val="00604E8E"/>
    <w:rsid w:val="00652E45"/>
    <w:rsid w:val="007032EF"/>
    <w:rsid w:val="00716A84"/>
    <w:rsid w:val="00716BEA"/>
    <w:rsid w:val="00774964"/>
    <w:rsid w:val="00847BDB"/>
    <w:rsid w:val="00854BFB"/>
    <w:rsid w:val="00883451"/>
    <w:rsid w:val="00902161"/>
    <w:rsid w:val="009552CE"/>
    <w:rsid w:val="00957FAF"/>
    <w:rsid w:val="00966C41"/>
    <w:rsid w:val="00996A4E"/>
    <w:rsid w:val="009D46F4"/>
    <w:rsid w:val="00B46F79"/>
    <w:rsid w:val="00B63DF2"/>
    <w:rsid w:val="00D27934"/>
    <w:rsid w:val="00D509C9"/>
    <w:rsid w:val="00D66DC1"/>
    <w:rsid w:val="00D84234"/>
    <w:rsid w:val="00D900D4"/>
    <w:rsid w:val="00DB4AAB"/>
    <w:rsid w:val="00DB7C1E"/>
    <w:rsid w:val="00EA60EA"/>
    <w:rsid w:val="00EB2AE4"/>
    <w:rsid w:val="00EC045D"/>
    <w:rsid w:val="00EE313A"/>
    <w:rsid w:val="00F77D0E"/>
    <w:rsid w:val="00FC4BB1"/>
    <w:rsid w:val="00FF59A1"/>
    <w:rsid w:val="1774F744"/>
    <w:rsid w:val="3176590F"/>
    <w:rsid w:val="70AFB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F88D"/>
  <w15:docId w15:val="{8F0A8E24-0961-4090-8E5F-1848EF1FD9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hAnsi="Cambria" w:eastAsia="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hAnsi="Cambria" w:eastAsia="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TSOLScheduleAnnexName" w:customStyle="1">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GPSL2Numbered" w:customStyle="1">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styleId="GPSL2NumberedChar" w:customStyle="1">
    <w:name w:val="GPS L2 Numbered Char"/>
    <w:link w:val="GPSL2Numbered"/>
    <w:locked/>
    <w:rPr>
      <w:rFonts w:ascii="Calibri" w:hAnsi="Calibri" w:eastAsia="Times New Roman" w:cs="Arial"/>
      <w:lang w:eastAsia="zh-CN"/>
    </w:rPr>
  </w:style>
  <w:style w:type="paragraph" w:styleId="Revision">
    <w:name w:val="Revision"/>
    <w:hidden/>
    <w:uiPriority w:val="99"/>
    <w:semiHidden/>
    <w:rsid w:val="00F42B75"/>
    <w:pPr>
      <w:spacing w:after="0" w:line="240" w:lineRule="auto"/>
    </w:pPr>
  </w:style>
  <w:style w:type="paragraph" w:styleId="ScheduleTitleClause" w:customStyle="1">
    <w:name w:val="Schedule Title Clause"/>
    <w:basedOn w:val="Normal"/>
    <w:rsid w:val="002771AA"/>
    <w:pPr>
      <w:keepNext/>
      <w:numPr>
        <w:ilvl w:val="2"/>
        <w:numId w:val="1"/>
      </w:numPr>
      <w:spacing w:before="240" w:after="240" w:line="300" w:lineRule="atLeast"/>
      <w:jc w:val="both"/>
      <w:outlineLvl w:val="0"/>
    </w:pPr>
    <w:rPr>
      <w:rFonts w:ascii="Arial" w:hAnsi="Arial" w:eastAsia="Times New Roman" w:cs="Times New Roman"/>
      <w:b/>
      <w:color w:val="000000"/>
      <w:kern w:val="28"/>
      <w:szCs w:val="20"/>
    </w:rPr>
  </w:style>
  <w:style w:type="paragraph" w:styleId="ScheduleUntitledsubclause1" w:customStyle="1">
    <w:name w:val="Schedule Untitled subclause 1"/>
    <w:basedOn w:val="Normal"/>
    <w:rsid w:val="002771AA"/>
    <w:pPr>
      <w:numPr>
        <w:ilvl w:val="3"/>
        <w:numId w:val="1"/>
      </w:numPr>
      <w:spacing w:before="280" w:after="120" w:line="300" w:lineRule="atLeast"/>
      <w:jc w:val="both"/>
      <w:outlineLvl w:val="1"/>
    </w:pPr>
    <w:rPr>
      <w:rFonts w:ascii="Arial" w:hAnsi="Arial" w:eastAsia="Times New Roman" w:cs="Times New Roman"/>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hAnsi="Arial" w:eastAsia="Times New Roman" w:cs="Times New Roman"/>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hAnsi="Arial" w:eastAsia="Times New Roman" w:cs="Times New Roman"/>
      <w:color w:val="000000"/>
      <w:szCs w:val="20"/>
    </w:rPr>
  </w:style>
  <w:style w:type="paragraph" w:styleId="Schedule" w:customStyle="1">
    <w:name w:val="Schedule"/>
    <w:qFormat/>
    <w:rsid w:val="002771AA"/>
    <w:pPr>
      <w:numPr>
        <w:numId w:val="1"/>
      </w:numPr>
      <w:spacing w:before="240" w:after="240" w:line="240" w:lineRule="atLeast"/>
    </w:pPr>
    <w:rPr>
      <w:rFonts w:ascii="Arial" w:hAnsi="Arial" w:eastAsia="Times New Roman" w:cs="Times New Roman"/>
      <w:b/>
      <w:color w:val="000000"/>
      <w:lang w:val="en-US"/>
    </w:rPr>
  </w:style>
  <w:style w:type="paragraph" w:styleId="Part" w:customStyle="1">
    <w:name w:val="Part"/>
    <w:basedOn w:val="Normal"/>
    <w:qFormat/>
    <w:rsid w:val="002771AA"/>
    <w:pPr>
      <w:numPr>
        <w:ilvl w:val="1"/>
        <w:numId w:val="1"/>
      </w:numPr>
      <w:spacing w:before="240" w:after="240" w:line="300" w:lineRule="atLeast"/>
    </w:pPr>
    <w:rPr>
      <w:rFonts w:ascii="Arial" w:hAnsi="Arial" w:eastAsia="Times New Roman"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styleId="GPsDefinition" w:customStyle="1">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hAnsi="Arial" w:eastAsia="Times New Roman" w:cs="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hAnsi="Cambria" w:eastAsia="Cambria" w:cs="Cambria"/>
      <w:b/>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hAnsi="Cambria" w:eastAsia="Cambria" w:cs="Cambria"/>
      <w:b/>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styleId="GPSDefinitionL2" w:customStyle="1">
    <w:name w:val="GPS Definition L2"/>
    <w:basedOn w:val="GPsDefinition"/>
    <w:qFormat/>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rsid w:val="002404A4"/>
    <w:pPr>
      <w:ind w:left="1800" w:hanging="360"/>
    </w:pPr>
  </w:style>
  <w:style w:type="paragraph" w:styleId="GPSDefinitionL4" w:customStyle="1">
    <w:name w:val="GPS Definition L4"/>
    <w:basedOn w:val="GPSDefinitionL3"/>
    <w:qFormat/>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hAnsi="Calibri" w:eastAsia="Calibri" w:cs="Times New Roman"/>
    </w:rPr>
  </w:style>
  <w:style w:type="paragraph" w:styleId="ABackground" w:customStyle="1">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styleId="BackSubClause" w:customStyle="1">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styleId="TLTLevel1" w:customStyle="1">
    <w:name w:val="TLT Level 1"/>
    <w:basedOn w:val="Normal"/>
    <w:rsid w:val="002404A4"/>
    <w:pPr>
      <w:numPr>
        <w:numId w:val="3"/>
      </w:numPr>
      <w:spacing w:before="100" w:line="240" w:lineRule="auto"/>
    </w:pPr>
    <w:rPr>
      <w:rFonts w:ascii="Arial" w:hAnsi="Arial" w:cs="Arial"/>
      <w:sz w:val="20"/>
      <w:szCs w:val="20"/>
    </w:rPr>
  </w:style>
  <w:style w:type="character" w:styleId="TLTLevel2Char" w:customStyle="1">
    <w:name w:val="TLT Level 2 Char"/>
    <w:basedOn w:val="DefaultParagraphFont"/>
    <w:link w:val="TLTLevel2"/>
    <w:locked/>
    <w:rsid w:val="002404A4"/>
  </w:style>
  <w:style w:type="paragraph" w:styleId="TLTLevel2" w:customStyle="1">
    <w:name w:val="TLT Level 2"/>
    <w:basedOn w:val="Normal"/>
    <w:link w:val="TLTLevel2Char"/>
    <w:rsid w:val="002404A4"/>
    <w:pPr>
      <w:numPr>
        <w:ilvl w:val="1"/>
        <w:numId w:val="3"/>
      </w:numPr>
      <w:spacing w:before="100" w:line="240" w:lineRule="auto"/>
    </w:pPr>
  </w:style>
  <w:style w:type="paragraph" w:styleId="TLTLevel3" w:customStyle="1">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styleId="TLTLevel4" w:customStyle="1">
    <w:name w:val="TLT Level 4"/>
    <w:basedOn w:val="Normal"/>
    <w:rsid w:val="002404A4"/>
    <w:pPr>
      <w:numPr>
        <w:ilvl w:val="3"/>
        <w:numId w:val="3"/>
      </w:numPr>
      <w:spacing w:before="100" w:line="240" w:lineRule="auto"/>
    </w:pPr>
    <w:rPr>
      <w:rFonts w:ascii="Times New Roman" w:hAnsi="Times New Roman" w:cs="Times New Roman"/>
    </w:rPr>
  </w:style>
  <w:style w:type="paragraph" w:styleId="TLTLevel5" w:customStyle="1">
    <w:name w:val="TLT Level 5"/>
    <w:basedOn w:val="Normal"/>
    <w:rsid w:val="002404A4"/>
    <w:pPr>
      <w:numPr>
        <w:ilvl w:val="4"/>
        <w:numId w:val="3"/>
      </w:numPr>
      <w:spacing w:before="100" w:line="240" w:lineRule="auto"/>
    </w:pPr>
    <w:rPr>
      <w:rFonts w:ascii="Times New Roman" w:hAnsi="Times New Roman" w:cs="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hAnsi="Trebuchet MS" w:eastAsia="Times New Roman" w:cs="Times New Roman"/>
      <w:sz w:val="20"/>
      <w:szCs w:val="20"/>
    </w:rPr>
  </w:style>
  <w:style w:type="character" w:styleId="BodyTextChar" w:customStyle="1">
    <w:name w:val="Body Text Char"/>
    <w:basedOn w:val="DefaultParagraphFont"/>
    <w:link w:val="BodyText"/>
    <w:uiPriority w:val="99"/>
    <w:rsid w:val="006D1BF4"/>
    <w:rPr>
      <w:rFonts w:ascii="Trebuchet MS" w:hAnsi="Trebuchet MS" w:eastAsia="Times New Roman" w:cs="Times New Roman"/>
      <w:sz w:val="20"/>
      <w:szCs w:val="20"/>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styleId="a2" w:customStyle="1">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Bradley, Fin (Commercial)</DisplayName>
        <AccountId>124</AccountId>
        <AccountType/>
      </UserInfo>
    </SharedWithUsers>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AD23507-B9DC-48CE-8BD8-163E2D405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F0542-27DE-41D1-BD05-6C4AEDE2C6FB}">
  <ds:schemaRefs>
    <ds:schemaRef ds:uri="http://schemas.microsoft.com/sharepoint/v3/contenttype/forms"/>
  </ds:schemaRefs>
</ds:datastoreItem>
</file>

<file path=customXml/itemProps4.xml><?xml version="1.0" encoding="utf-8"?>
<ds:datastoreItem xmlns:ds="http://schemas.openxmlformats.org/officeDocument/2006/customXml" ds:itemID="{6758281A-38A4-4CC4-863E-FBDCCCCEF156}">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c5b3681b-f971-4d53-b84a-c49278846a98"/>
    <ds:schemaRef ds:uri="http://purl.org/dc/elements/1.1/"/>
    <ds:schemaRef ds:uri="http://schemas.microsoft.com/office/2006/documentManagement/types"/>
    <ds:schemaRef ds:uri="df2fe17e-1586-4888-a73f-0fe1768209fa"/>
    <ds:schemaRef ds:uri="http://schemas.microsoft.com/office/2006/metadata/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Cramer, Gabriel (CS&amp;TD KAI Operations, Strategy &amp; Transformation)</dc:creator>
  <lastModifiedBy>Akubat, Husain (Commercial)</lastModifiedBy>
  <revision>35</revision>
  <dcterms:created xsi:type="dcterms:W3CDTF">2023-08-10T10:00:00.0000000Z</dcterms:created>
  <dcterms:modified xsi:type="dcterms:W3CDTF">2024-03-28T10:18:37.1655520Z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2023-08-10T10:00:21Z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88c2454d-0fe7-44fa-beb4-b383bdcd56a0</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y fmtid="{D5CDD505-2E9C-101B-9397-08002B2CF9AE}" pid="11" name="MediaServiceImageTags">
    <vt:lpwstr/>
  </property>
</Properties>
</file>